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935" w:rsidRDefault="00B42935" w:rsidP="00B42935">
      <w:pPr>
        <w:jc w:val="center"/>
        <w:rPr>
          <w:rFonts w:ascii="Times New Roman" w:hAnsi="Times New Roman" w:cs="Times New Roman"/>
          <w:sz w:val="24"/>
          <w:szCs w:val="24"/>
        </w:rPr>
      </w:pPr>
      <w:bookmarkStart w:id="0" w:name="_GoBack"/>
      <w:bookmarkEnd w:id="0"/>
      <w:r w:rsidRPr="00CD5EFE">
        <w:rPr>
          <w:rFonts w:ascii="Times New Roman" w:hAnsi="Times New Roman" w:cs="Times New Roman"/>
          <w:sz w:val="24"/>
          <w:szCs w:val="24"/>
        </w:rPr>
        <w:t>Royal Caribbean Cruises Ltd</w:t>
      </w:r>
    </w:p>
    <w:p w:rsidR="005C5C1A" w:rsidRPr="005C5C1A" w:rsidRDefault="005C5C1A" w:rsidP="00B42935">
      <w:pPr>
        <w:jc w:val="center"/>
        <w:rPr>
          <w:rFonts w:ascii="Times New Roman" w:hAnsi="Times New Roman" w:cs="Times New Roman"/>
          <w:b/>
          <w:sz w:val="24"/>
          <w:szCs w:val="24"/>
        </w:rPr>
      </w:pPr>
      <w:r w:rsidRPr="005C5C1A">
        <w:rPr>
          <w:rFonts w:ascii="Times New Roman" w:hAnsi="Times New Roman" w:cs="Times New Roman"/>
          <w:b/>
          <w:sz w:val="24"/>
          <w:szCs w:val="24"/>
        </w:rPr>
        <w:t>Part A</w:t>
      </w:r>
    </w:p>
    <w:p w:rsidR="005C5C1A" w:rsidRDefault="005C5C1A" w:rsidP="00B42935">
      <w:pPr>
        <w:jc w:val="center"/>
        <w:rPr>
          <w:rFonts w:ascii="Times New Roman" w:hAnsi="Times New Roman" w:cs="Times New Roman"/>
          <w:sz w:val="24"/>
          <w:szCs w:val="24"/>
        </w:rPr>
      </w:pPr>
    </w:p>
    <w:p w:rsidR="00164742" w:rsidRPr="00164742" w:rsidRDefault="00164742" w:rsidP="00164742">
      <w:pPr>
        <w:rPr>
          <w:rFonts w:ascii="Times New Roman" w:hAnsi="Times New Roman" w:cs="Times New Roman"/>
          <w:sz w:val="24"/>
          <w:szCs w:val="24"/>
        </w:rPr>
      </w:pPr>
      <w:r w:rsidRPr="00164742">
        <w:rPr>
          <w:rFonts w:ascii="Times New Roman" w:hAnsi="Times New Roman" w:cs="Times New Roman"/>
          <w:sz w:val="24"/>
          <w:szCs w:val="24"/>
        </w:rPr>
        <w:t>It was initially known</w:t>
      </w:r>
      <w:r>
        <w:rPr>
          <w:rFonts w:ascii="Times New Roman" w:hAnsi="Times New Roman" w:cs="Times New Roman"/>
          <w:sz w:val="24"/>
          <w:szCs w:val="24"/>
        </w:rPr>
        <w:t xml:space="preserve"> as Royal Caribbean Cruise Line. </w:t>
      </w:r>
      <w:r w:rsidR="006B601F">
        <w:rPr>
          <w:rFonts w:ascii="Times New Roman" w:hAnsi="Times New Roman" w:cs="Times New Roman"/>
          <w:sz w:val="24"/>
          <w:szCs w:val="24"/>
        </w:rPr>
        <w:t xml:space="preserve">It’s </w:t>
      </w:r>
      <w:r>
        <w:rPr>
          <w:rFonts w:ascii="Times New Roman" w:hAnsi="Times New Roman" w:cs="Times New Roman"/>
          <w:sz w:val="24"/>
          <w:szCs w:val="24"/>
        </w:rPr>
        <w:t xml:space="preserve">the </w:t>
      </w:r>
      <w:r w:rsidRPr="00164742">
        <w:rPr>
          <w:rFonts w:ascii="Times New Roman" w:hAnsi="Times New Roman" w:cs="Times New Roman"/>
          <w:sz w:val="24"/>
          <w:szCs w:val="24"/>
        </w:rPr>
        <w:t>leading and most significant companies in the hospitality and tourism industry. The company was founded in Norway in 1968, but it has since relocated to Miami, Florida. Royal Caribbean operates 25 of the world's significant ships, consequently controlling a significant proportion of the world's cruise market. Besides, the company gives its customer's superiority of tourism services at reasonable costs. Furthermore, they pursue and hold robust, innovative culture such as investing in the New York Stock Exchange while also partnering with other global companies to provide exclusive experiences through outings to all parts of the world where they dock their ships (Hudson, 2008). The company now owns private islands in different parts of the world. However, they are also continually acquiring and renovating their fleet of ships to dominate and provide unique experiences to their customers in the hugely competitive tourism industry. Therefore, having produced a brief background of the company, it is crucial to indicate that the three exciting features include;</w:t>
      </w:r>
    </w:p>
    <w:p w:rsidR="00164742" w:rsidRPr="00164742" w:rsidRDefault="00164742" w:rsidP="00164742">
      <w:pPr>
        <w:rPr>
          <w:rFonts w:ascii="Times New Roman" w:hAnsi="Times New Roman" w:cs="Times New Roman"/>
          <w:sz w:val="24"/>
          <w:szCs w:val="24"/>
        </w:rPr>
      </w:pPr>
      <w:r w:rsidRPr="00164742">
        <w:rPr>
          <w:rFonts w:ascii="Times New Roman" w:hAnsi="Times New Roman" w:cs="Times New Roman"/>
          <w:sz w:val="24"/>
          <w:szCs w:val="24"/>
        </w:rPr>
        <w:t></w:t>
      </w:r>
      <w:r w:rsidRPr="00164742">
        <w:rPr>
          <w:rFonts w:ascii="Times New Roman" w:hAnsi="Times New Roman" w:cs="Times New Roman"/>
          <w:sz w:val="24"/>
          <w:szCs w:val="24"/>
        </w:rPr>
        <w:tab/>
        <w:t>Innovative brand and culture</w:t>
      </w:r>
    </w:p>
    <w:p w:rsidR="00164742" w:rsidRPr="00164742" w:rsidRDefault="00164742" w:rsidP="00164742">
      <w:pPr>
        <w:rPr>
          <w:rFonts w:ascii="Times New Roman" w:hAnsi="Times New Roman" w:cs="Times New Roman"/>
          <w:sz w:val="24"/>
          <w:szCs w:val="24"/>
        </w:rPr>
      </w:pPr>
      <w:r w:rsidRPr="00164742">
        <w:rPr>
          <w:rFonts w:ascii="Times New Roman" w:hAnsi="Times New Roman" w:cs="Times New Roman"/>
          <w:sz w:val="24"/>
          <w:szCs w:val="24"/>
        </w:rPr>
        <w:t></w:t>
      </w:r>
      <w:r w:rsidRPr="00164742">
        <w:rPr>
          <w:rFonts w:ascii="Times New Roman" w:hAnsi="Times New Roman" w:cs="Times New Roman"/>
          <w:sz w:val="24"/>
          <w:szCs w:val="24"/>
        </w:rPr>
        <w:tab/>
        <w:t>Competitive marketing strategies</w:t>
      </w:r>
    </w:p>
    <w:p w:rsidR="00164742" w:rsidRPr="00164742" w:rsidRDefault="00164742" w:rsidP="00164742">
      <w:pPr>
        <w:rPr>
          <w:rFonts w:ascii="Times New Roman" w:hAnsi="Times New Roman" w:cs="Times New Roman"/>
          <w:sz w:val="24"/>
          <w:szCs w:val="24"/>
        </w:rPr>
      </w:pPr>
      <w:r w:rsidRPr="00164742">
        <w:rPr>
          <w:rFonts w:ascii="Times New Roman" w:hAnsi="Times New Roman" w:cs="Times New Roman"/>
          <w:sz w:val="24"/>
          <w:szCs w:val="24"/>
        </w:rPr>
        <w:t></w:t>
      </w:r>
      <w:r w:rsidRPr="00164742">
        <w:rPr>
          <w:rFonts w:ascii="Times New Roman" w:hAnsi="Times New Roman" w:cs="Times New Roman"/>
          <w:sz w:val="24"/>
          <w:szCs w:val="24"/>
        </w:rPr>
        <w:tab/>
      </w:r>
      <w:proofErr w:type="gramStart"/>
      <w:r w:rsidRPr="00164742">
        <w:rPr>
          <w:rFonts w:ascii="Times New Roman" w:hAnsi="Times New Roman" w:cs="Times New Roman"/>
          <w:sz w:val="24"/>
          <w:szCs w:val="24"/>
        </w:rPr>
        <w:t>The</w:t>
      </w:r>
      <w:proofErr w:type="gramEnd"/>
      <w:r w:rsidRPr="00164742">
        <w:rPr>
          <w:rFonts w:ascii="Times New Roman" w:hAnsi="Times New Roman" w:cs="Times New Roman"/>
          <w:sz w:val="24"/>
          <w:szCs w:val="24"/>
        </w:rPr>
        <w:t xml:space="preserve"> leadership role played by the company in the hospitality and tourism industry</w:t>
      </w:r>
    </w:p>
    <w:p w:rsidR="00164742" w:rsidRPr="00164742" w:rsidRDefault="00164742" w:rsidP="00164742">
      <w:pPr>
        <w:rPr>
          <w:rFonts w:ascii="Times New Roman" w:hAnsi="Times New Roman" w:cs="Times New Roman"/>
          <w:sz w:val="24"/>
          <w:szCs w:val="24"/>
        </w:rPr>
      </w:pPr>
      <w:r w:rsidRPr="00164742">
        <w:rPr>
          <w:rFonts w:ascii="Times New Roman" w:hAnsi="Times New Roman" w:cs="Times New Roman"/>
          <w:sz w:val="24"/>
          <w:szCs w:val="24"/>
        </w:rPr>
        <w:t>Question 2</w:t>
      </w:r>
    </w:p>
    <w:p w:rsidR="00164742" w:rsidRPr="00164742" w:rsidRDefault="00164742" w:rsidP="00164742">
      <w:pPr>
        <w:rPr>
          <w:rFonts w:ascii="Times New Roman" w:hAnsi="Times New Roman" w:cs="Times New Roman"/>
          <w:sz w:val="24"/>
          <w:szCs w:val="24"/>
        </w:rPr>
      </w:pPr>
      <w:r w:rsidRPr="00164742">
        <w:rPr>
          <w:rFonts w:ascii="Times New Roman" w:hAnsi="Times New Roman" w:cs="Times New Roman"/>
          <w:sz w:val="24"/>
          <w:szCs w:val="24"/>
        </w:rPr>
        <w:t>The Royal Caribbean was formerly known as Royal Caribbean International Cruise Line (</w:t>
      </w:r>
      <w:proofErr w:type="spellStart"/>
      <w:r w:rsidRPr="00164742">
        <w:rPr>
          <w:rFonts w:ascii="Times New Roman" w:hAnsi="Times New Roman" w:cs="Times New Roman"/>
          <w:sz w:val="24"/>
          <w:szCs w:val="24"/>
        </w:rPr>
        <w:t>Kerliev</w:t>
      </w:r>
      <w:proofErr w:type="spellEnd"/>
      <w:r w:rsidRPr="00164742">
        <w:rPr>
          <w:rFonts w:ascii="Times New Roman" w:hAnsi="Times New Roman" w:cs="Times New Roman"/>
          <w:sz w:val="24"/>
          <w:szCs w:val="24"/>
        </w:rPr>
        <w:t>, 2019). It is a leading world company based in the US. They own and operate a fleet of vacation ships as well as secluded islands that enables the company to provide guests with the desired experiences during vacations. For instance, the company offers its customers with world-class dining experiences and different travel amenities such as gym and entertainment activities for all ages (Camilleri, 2018). The history of the company has been gradually evolving to develop a brand that resonates with the changing needs of their clients. They merged with Celebrity Cruises in 1997 and formed Royal Caribbean International. They have had some challenges with the oil leakages but have since found better ways to protect the environment and thrive in the market. Their mission statement commits to acting in the highest ethical and respectable standards loyal to their brands. They strive to continue exceeding their guest’s experiences and expectations while engaging in behavior that enhances employee morale and the company’s reputation.</w:t>
      </w:r>
    </w:p>
    <w:p w:rsidR="00164742" w:rsidRPr="00164742" w:rsidRDefault="00164742" w:rsidP="00164742">
      <w:pPr>
        <w:jc w:val="center"/>
        <w:rPr>
          <w:rFonts w:ascii="Times New Roman" w:hAnsi="Times New Roman" w:cs="Times New Roman"/>
          <w:sz w:val="24"/>
          <w:szCs w:val="24"/>
        </w:rPr>
      </w:pPr>
    </w:p>
    <w:p w:rsidR="005C5C1A" w:rsidRDefault="005C5C1A" w:rsidP="00B42935">
      <w:pPr>
        <w:jc w:val="center"/>
        <w:rPr>
          <w:rFonts w:ascii="Times New Roman" w:hAnsi="Times New Roman" w:cs="Times New Roman"/>
          <w:sz w:val="24"/>
          <w:szCs w:val="24"/>
        </w:rPr>
      </w:pPr>
    </w:p>
    <w:p w:rsidR="005C5C1A" w:rsidRDefault="005C5C1A" w:rsidP="00B42935">
      <w:pPr>
        <w:jc w:val="center"/>
        <w:rPr>
          <w:rFonts w:ascii="Times New Roman" w:hAnsi="Times New Roman" w:cs="Times New Roman"/>
          <w:sz w:val="24"/>
          <w:szCs w:val="24"/>
        </w:rPr>
      </w:pPr>
    </w:p>
    <w:p w:rsidR="005C5C1A" w:rsidRDefault="005C5C1A" w:rsidP="00B42935">
      <w:pPr>
        <w:jc w:val="center"/>
        <w:rPr>
          <w:rFonts w:ascii="Times New Roman" w:hAnsi="Times New Roman" w:cs="Times New Roman"/>
          <w:sz w:val="24"/>
          <w:szCs w:val="24"/>
        </w:rPr>
      </w:pPr>
    </w:p>
    <w:p w:rsidR="005C5C1A" w:rsidRPr="005C5C1A" w:rsidRDefault="005C5C1A" w:rsidP="00B42935">
      <w:pPr>
        <w:jc w:val="center"/>
        <w:rPr>
          <w:rFonts w:ascii="Times New Roman" w:hAnsi="Times New Roman" w:cs="Times New Roman"/>
          <w:b/>
          <w:sz w:val="24"/>
          <w:szCs w:val="24"/>
        </w:rPr>
      </w:pPr>
      <w:r w:rsidRPr="005C5C1A">
        <w:rPr>
          <w:rFonts w:ascii="Times New Roman" w:hAnsi="Times New Roman" w:cs="Times New Roman"/>
          <w:b/>
          <w:sz w:val="24"/>
          <w:szCs w:val="24"/>
        </w:rPr>
        <w:t>Part B</w:t>
      </w:r>
    </w:p>
    <w:p w:rsidR="00B42935" w:rsidRPr="00CD5EFE" w:rsidRDefault="00B42935">
      <w:pPr>
        <w:rPr>
          <w:rFonts w:ascii="Times New Roman" w:hAnsi="Times New Roman" w:cs="Times New Roman"/>
          <w:sz w:val="24"/>
          <w:szCs w:val="24"/>
        </w:rPr>
      </w:pPr>
      <w:r w:rsidRPr="00CD5EFE">
        <w:rPr>
          <w:rFonts w:ascii="Times New Roman" w:hAnsi="Times New Roman" w:cs="Times New Roman"/>
          <w:sz w:val="24"/>
          <w:szCs w:val="24"/>
        </w:rPr>
        <w:t xml:space="preserve">COMPANY REPORT </w:t>
      </w:r>
    </w:p>
    <w:p w:rsidR="00B42935" w:rsidRPr="00CD5EFE" w:rsidRDefault="00B42935">
      <w:pPr>
        <w:rPr>
          <w:rFonts w:ascii="Times New Roman" w:hAnsi="Times New Roman" w:cs="Times New Roman"/>
          <w:sz w:val="24"/>
          <w:szCs w:val="24"/>
        </w:rPr>
      </w:pPr>
      <w:r w:rsidRPr="00CD5EFE">
        <w:rPr>
          <w:rFonts w:ascii="Times New Roman" w:hAnsi="Times New Roman" w:cs="Times New Roman"/>
          <w:sz w:val="24"/>
          <w:szCs w:val="24"/>
        </w:rPr>
        <w:t xml:space="preserve">Solidifying their position in the industry </w:t>
      </w:r>
    </w:p>
    <w:p w:rsidR="00B42935" w:rsidRPr="00CD5EFE" w:rsidRDefault="00B42935" w:rsidP="00CD5EFE">
      <w:pPr>
        <w:ind w:left="720"/>
        <w:rPr>
          <w:rFonts w:ascii="Times New Roman" w:hAnsi="Times New Roman" w:cs="Times New Roman"/>
          <w:sz w:val="24"/>
          <w:szCs w:val="24"/>
        </w:rPr>
      </w:pPr>
      <w:r w:rsidRPr="00CD5EFE">
        <w:rPr>
          <w:rFonts w:ascii="Times New Roman" w:hAnsi="Times New Roman" w:cs="Times New Roman"/>
          <w:sz w:val="24"/>
          <w:szCs w:val="24"/>
        </w:rPr>
        <w:t xml:space="preserve">▪ Projected valuation meets market’s current expectations. As of close of business on April 15, 1999 RCL was trading at $122.46. Our team’s valuation of $47.47 confirms that our forecasted cash flows align with the market’s expectations of the future value of the company. Therefore, our recommendation at this time is a HOLD rating for Royal Caribbean. </w:t>
      </w:r>
    </w:p>
    <w:p w:rsidR="00B42935" w:rsidRPr="00CD5EFE" w:rsidRDefault="00B42935" w:rsidP="00CD5EFE">
      <w:pPr>
        <w:ind w:left="720"/>
        <w:rPr>
          <w:rFonts w:ascii="Times New Roman" w:hAnsi="Times New Roman" w:cs="Times New Roman"/>
          <w:sz w:val="24"/>
          <w:szCs w:val="24"/>
        </w:rPr>
      </w:pPr>
      <w:r w:rsidRPr="00CD5EFE">
        <w:rPr>
          <w:rFonts w:ascii="Times New Roman" w:hAnsi="Times New Roman" w:cs="Times New Roman"/>
          <w:sz w:val="24"/>
          <w:szCs w:val="24"/>
        </w:rPr>
        <w:t xml:space="preserve">▪ RCL is the second most dynamic player in the industry. Following Norwegian Cruise Line’s net yield growth, RCL has shown steady growth increases in the past three years. Based on projected future capacity and historical trends, we assume a peak of 5% in the net yield growth in 2001 progressively tapering down to historical long-term average of 3%. </w:t>
      </w:r>
    </w:p>
    <w:p w:rsidR="00B42935" w:rsidRPr="00CD5EFE" w:rsidRDefault="00B42935" w:rsidP="00CD5EFE">
      <w:pPr>
        <w:ind w:left="720"/>
        <w:rPr>
          <w:rFonts w:ascii="Times New Roman" w:hAnsi="Times New Roman" w:cs="Times New Roman"/>
          <w:sz w:val="24"/>
          <w:szCs w:val="24"/>
        </w:rPr>
      </w:pPr>
      <w:r w:rsidRPr="00CD5EFE">
        <w:rPr>
          <w:rFonts w:ascii="Times New Roman" w:hAnsi="Times New Roman" w:cs="Times New Roman"/>
          <w:sz w:val="24"/>
          <w:szCs w:val="24"/>
        </w:rPr>
        <w:t xml:space="preserve">▪ RCL to imitate Norwegian’s long-run pricing strategies. As visible from historical trends, RCL has been progressively adjusting the revenue split between ticket and “onboard and other”, gradually increasing the proportion of onboard. In our forecast we assume that RCL will aim at a 70-30 split that has already proven profitable for Norwegian. </w:t>
      </w:r>
    </w:p>
    <w:p w:rsidR="00B42935" w:rsidRPr="00CD5EFE" w:rsidRDefault="00B42935" w:rsidP="00CD5EFE">
      <w:pPr>
        <w:ind w:left="720"/>
        <w:rPr>
          <w:rFonts w:ascii="Times New Roman" w:hAnsi="Times New Roman" w:cs="Times New Roman"/>
          <w:sz w:val="24"/>
          <w:szCs w:val="24"/>
        </w:rPr>
      </w:pPr>
      <w:r w:rsidRPr="00CD5EFE">
        <w:rPr>
          <w:rFonts w:ascii="Times New Roman" w:hAnsi="Times New Roman" w:cs="Times New Roman"/>
          <w:sz w:val="24"/>
          <w:szCs w:val="24"/>
        </w:rPr>
        <w:t>▪ Technological innovations in the onboard revenue system will improve RCL’s cost management. Recent data confirms that the integration of mobile IT in the booking and customer check-in systems will continue to generate cost reductions for RCL.</w:t>
      </w:r>
    </w:p>
    <w:p w:rsidR="00B42935" w:rsidRPr="00CD5EFE" w:rsidRDefault="00B42935">
      <w:pPr>
        <w:rPr>
          <w:rFonts w:ascii="Times New Roman" w:hAnsi="Times New Roman" w:cs="Times New Roman"/>
          <w:b/>
          <w:sz w:val="24"/>
          <w:szCs w:val="24"/>
        </w:rPr>
      </w:pPr>
      <w:r w:rsidRPr="00CD5EFE">
        <w:rPr>
          <w:rFonts w:ascii="Times New Roman" w:hAnsi="Times New Roman" w:cs="Times New Roman"/>
          <w:b/>
          <w:sz w:val="24"/>
          <w:szCs w:val="24"/>
        </w:rPr>
        <w:t>Free Cash Flow Calculation</w:t>
      </w:r>
    </w:p>
    <w:p w:rsidR="00864227" w:rsidRPr="00CD5EFE" w:rsidRDefault="00B42935">
      <w:pPr>
        <w:rPr>
          <w:rFonts w:ascii="Times New Roman" w:hAnsi="Times New Roman" w:cs="Times New Roman"/>
          <w:sz w:val="24"/>
          <w:szCs w:val="24"/>
        </w:rPr>
      </w:pPr>
      <w:r w:rsidRPr="00CD5EFE">
        <w:rPr>
          <w:rFonts w:ascii="Times New Roman" w:hAnsi="Times New Roman" w:cs="Times New Roman"/>
          <w:sz w:val="24"/>
          <w:szCs w:val="24"/>
        </w:rPr>
        <w:t xml:space="preserve"> Given the nature of the cruise line industry, our team decided to analyze the free cash flows of RCL over a 10-year time horizon for which we estimate to be able to reliably provide forecasts. Figure 1 below summarizes our assumptions for each component of the free cash flow projections. For each line item, the numbers in blue correspond to our line item forecast below based on the specific driver listed in the left column.</w:t>
      </w:r>
    </w:p>
    <w:p w:rsidR="00864227" w:rsidRPr="00CD5EFE" w:rsidRDefault="00864227">
      <w:pPr>
        <w:rPr>
          <w:rFonts w:ascii="Times New Roman" w:hAnsi="Times New Roman" w:cs="Times New Roman"/>
          <w:sz w:val="24"/>
          <w:szCs w:val="24"/>
        </w:rPr>
      </w:pPr>
      <w:r w:rsidRPr="00CD5EFE">
        <w:rPr>
          <w:rFonts w:ascii="Times New Roman" w:hAnsi="Times New Roman" w:cs="Times New Roman"/>
          <w:sz w:val="24"/>
          <w:szCs w:val="24"/>
        </w:rPr>
        <w:t>The following sections explain in detail each of the forecasts in the figure above. Our team heavily relied on RCL’s financial statements and earnings call. The team’s hypotheses on future projections are benchmarked to trends in the cruise line industry as a whole.</w:t>
      </w:r>
    </w:p>
    <w:p w:rsidR="00864227" w:rsidRPr="00CD5EFE" w:rsidRDefault="00864227">
      <w:pPr>
        <w:rPr>
          <w:rFonts w:ascii="Times New Roman" w:hAnsi="Times New Roman" w:cs="Times New Roman"/>
          <w:sz w:val="24"/>
          <w:szCs w:val="24"/>
        </w:rPr>
      </w:pPr>
    </w:p>
    <w:p w:rsidR="00864227" w:rsidRPr="00CD5EFE" w:rsidRDefault="00864227">
      <w:pPr>
        <w:rPr>
          <w:rFonts w:ascii="Times New Roman" w:hAnsi="Times New Roman" w:cs="Times New Roman"/>
          <w:sz w:val="24"/>
          <w:szCs w:val="24"/>
        </w:rPr>
      </w:pPr>
    </w:p>
    <w:p w:rsidR="00864227" w:rsidRPr="00CD5EFE" w:rsidRDefault="00864227">
      <w:pPr>
        <w:rPr>
          <w:rFonts w:ascii="Times New Roman" w:hAnsi="Times New Roman" w:cs="Times New Roman"/>
          <w:sz w:val="24"/>
          <w:szCs w:val="24"/>
        </w:rPr>
      </w:pPr>
    </w:p>
    <w:p w:rsidR="00864227" w:rsidRPr="00CD5EFE" w:rsidRDefault="00864227">
      <w:pPr>
        <w:rPr>
          <w:rFonts w:ascii="Times New Roman" w:hAnsi="Times New Roman" w:cs="Times New Roman"/>
          <w:sz w:val="24"/>
          <w:szCs w:val="24"/>
        </w:rPr>
      </w:pPr>
      <w:r w:rsidRPr="00CD5EFE">
        <w:rPr>
          <w:rFonts w:ascii="Times New Roman" w:hAnsi="Times New Roman" w:cs="Times New Roman"/>
          <w:sz w:val="24"/>
          <w:szCs w:val="24"/>
        </w:rPr>
        <w:t xml:space="preserve">Revenue Forecast </w:t>
      </w:r>
    </w:p>
    <w:tbl>
      <w:tblPr>
        <w:tblStyle w:val="TableGrid"/>
        <w:tblW w:w="0" w:type="auto"/>
        <w:tblLook w:val="04A0" w:firstRow="1" w:lastRow="0" w:firstColumn="1" w:lastColumn="0" w:noHBand="0" w:noVBand="1"/>
      </w:tblPr>
      <w:tblGrid>
        <w:gridCol w:w="2394"/>
        <w:gridCol w:w="2394"/>
        <w:gridCol w:w="2394"/>
        <w:gridCol w:w="2394"/>
      </w:tblGrid>
      <w:tr w:rsidR="00864227" w:rsidRPr="00CD5EFE" w:rsidTr="00864227">
        <w:tc>
          <w:tcPr>
            <w:tcW w:w="2394" w:type="dxa"/>
          </w:tcPr>
          <w:p w:rsidR="00864227" w:rsidRPr="00CD5EFE" w:rsidRDefault="00864227">
            <w:pPr>
              <w:rPr>
                <w:rFonts w:ascii="Times New Roman" w:hAnsi="Times New Roman" w:cs="Times New Roman"/>
                <w:sz w:val="24"/>
                <w:szCs w:val="24"/>
              </w:rPr>
            </w:pPr>
            <w:r w:rsidRPr="00CD5EFE">
              <w:rPr>
                <w:rFonts w:ascii="Times New Roman" w:hAnsi="Times New Roman" w:cs="Times New Roman"/>
                <w:sz w:val="24"/>
                <w:szCs w:val="24"/>
              </w:rPr>
              <w:t>Free cash flow calculation</w:t>
            </w:r>
          </w:p>
        </w:tc>
        <w:tc>
          <w:tcPr>
            <w:tcW w:w="2394" w:type="dxa"/>
          </w:tcPr>
          <w:p w:rsidR="00864227" w:rsidRPr="00CD5EFE" w:rsidRDefault="00864227">
            <w:pPr>
              <w:rPr>
                <w:rFonts w:ascii="Times New Roman" w:hAnsi="Times New Roman" w:cs="Times New Roman"/>
                <w:sz w:val="24"/>
                <w:szCs w:val="24"/>
              </w:rPr>
            </w:pPr>
            <w:r w:rsidRPr="00CD5EFE">
              <w:rPr>
                <w:rFonts w:ascii="Times New Roman" w:hAnsi="Times New Roman" w:cs="Times New Roman"/>
                <w:sz w:val="24"/>
                <w:szCs w:val="24"/>
              </w:rPr>
              <w:t>1999</w:t>
            </w:r>
          </w:p>
        </w:tc>
        <w:tc>
          <w:tcPr>
            <w:tcW w:w="2394" w:type="dxa"/>
          </w:tcPr>
          <w:p w:rsidR="00864227" w:rsidRPr="00CD5EFE" w:rsidRDefault="00864227">
            <w:pPr>
              <w:rPr>
                <w:rFonts w:ascii="Times New Roman" w:hAnsi="Times New Roman" w:cs="Times New Roman"/>
                <w:sz w:val="24"/>
                <w:szCs w:val="24"/>
              </w:rPr>
            </w:pPr>
            <w:r w:rsidRPr="00CD5EFE">
              <w:rPr>
                <w:rFonts w:ascii="Times New Roman" w:hAnsi="Times New Roman" w:cs="Times New Roman"/>
                <w:sz w:val="24"/>
                <w:szCs w:val="24"/>
              </w:rPr>
              <w:t>2000</w:t>
            </w:r>
          </w:p>
        </w:tc>
        <w:tc>
          <w:tcPr>
            <w:tcW w:w="2394" w:type="dxa"/>
          </w:tcPr>
          <w:p w:rsidR="00864227" w:rsidRPr="00CD5EFE" w:rsidRDefault="00864227">
            <w:pPr>
              <w:rPr>
                <w:rFonts w:ascii="Times New Roman" w:hAnsi="Times New Roman" w:cs="Times New Roman"/>
                <w:sz w:val="24"/>
                <w:szCs w:val="24"/>
              </w:rPr>
            </w:pPr>
            <w:r w:rsidRPr="00CD5EFE">
              <w:rPr>
                <w:rFonts w:ascii="Times New Roman" w:hAnsi="Times New Roman" w:cs="Times New Roman"/>
                <w:sz w:val="24"/>
                <w:szCs w:val="24"/>
              </w:rPr>
              <w:t>2001</w:t>
            </w:r>
          </w:p>
        </w:tc>
      </w:tr>
      <w:tr w:rsidR="001D1F9A" w:rsidRPr="00CD5EFE" w:rsidTr="00864227">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Revenue Growth (</w:t>
            </w:r>
            <w:proofErr w:type="spellStart"/>
            <w:r w:rsidRPr="00CD5EFE">
              <w:rPr>
                <w:rFonts w:ascii="Times New Roman" w:hAnsi="Times New Roman" w:cs="Times New Roman"/>
                <w:sz w:val="24"/>
                <w:szCs w:val="24"/>
              </w:rPr>
              <w:t>yoy</w:t>
            </w:r>
            <w:proofErr w:type="spellEnd"/>
            <w:r w:rsidRPr="00CD5EFE">
              <w:rPr>
                <w:rFonts w:ascii="Times New Roman" w:hAnsi="Times New Roman" w:cs="Times New Roman"/>
                <w:sz w:val="24"/>
                <w:szCs w:val="24"/>
              </w:rPr>
              <w:t>)</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16.18%</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12.68%</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12.68%</w:t>
            </w:r>
          </w:p>
        </w:tc>
      </w:tr>
      <w:tr w:rsidR="001D1F9A" w:rsidRPr="00CD5EFE" w:rsidTr="00864227">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Total Revenues</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11,030</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12,030</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13,030</w:t>
            </w:r>
          </w:p>
        </w:tc>
      </w:tr>
      <w:tr w:rsidR="001D1F9A" w:rsidRPr="00CD5EFE" w:rsidTr="00864227">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COGS as % of Revenues</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55.15%</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54.45%</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54.70%</w:t>
            </w:r>
          </w:p>
        </w:tc>
      </w:tr>
      <w:tr w:rsidR="001D1F9A" w:rsidRPr="00CD5EFE" w:rsidTr="00864227">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COGS</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6,083</w:t>
            </w:r>
          </w:p>
        </w:tc>
        <w:tc>
          <w:tcPr>
            <w:tcW w:w="2394" w:type="dxa"/>
          </w:tcPr>
          <w:p w:rsidR="001D1F9A" w:rsidRPr="00CD5EFE" w:rsidRDefault="001D1F9A" w:rsidP="001D1F9A">
            <w:pPr>
              <w:rPr>
                <w:rFonts w:ascii="Times New Roman" w:hAnsi="Times New Roman" w:cs="Times New Roman"/>
                <w:sz w:val="24"/>
                <w:szCs w:val="24"/>
              </w:rPr>
            </w:pPr>
            <w:r w:rsidRPr="00CD5EFE">
              <w:rPr>
                <w:rFonts w:ascii="Times New Roman" w:hAnsi="Times New Roman" w:cs="Times New Roman"/>
                <w:sz w:val="24"/>
                <w:szCs w:val="24"/>
              </w:rPr>
              <w:t>7,595</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8,685</w:t>
            </w:r>
          </w:p>
        </w:tc>
      </w:tr>
      <w:tr w:rsidR="001D1F9A" w:rsidRPr="00CD5EFE" w:rsidTr="00864227">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SG&amp;A as % of Revenues</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13.00%</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13.00%</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13.00%</w:t>
            </w:r>
          </w:p>
        </w:tc>
      </w:tr>
      <w:tr w:rsidR="001D1F9A" w:rsidRPr="00CD5EFE" w:rsidTr="00864227">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D&amp;A as of Revenues</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1,434</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1,636</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1,764</w:t>
            </w:r>
          </w:p>
        </w:tc>
      </w:tr>
      <w:tr w:rsidR="001D1F9A" w:rsidRPr="00CD5EFE" w:rsidTr="00864227">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Operating Income EBIT</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10.00%</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12.00%</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13.00%</w:t>
            </w:r>
          </w:p>
        </w:tc>
      </w:tr>
      <w:tr w:rsidR="001D1F9A" w:rsidRPr="00CD5EFE" w:rsidTr="001C7298">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Effective Tax Rate</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1,103</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2,345</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3,576</w:t>
            </w:r>
          </w:p>
        </w:tc>
      </w:tr>
      <w:tr w:rsidR="001D1F9A" w:rsidRPr="00CD5EFE" w:rsidTr="001C7298">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NOPAT</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2,410</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3,567</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4,828</w:t>
            </w:r>
          </w:p>
        </w:tc>
      </w:tr>
      <w:tr w:rsidR="001D1F9A" w:rsidRPr="00CD5EFE" w:rsidTr="001C7298">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D&amp;A as % of Revenues</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1.00%</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2.00%</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2.00%</w:t>
            </w:r>
          </w:p>
        </w:tc>
      </w:tr>
      <w:tr w:rsidR="001D1F9A" w:rsidRPr="00CD5EFE" w:rsidTr="001C7298">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 D&amp;A</w:t>
            </w:r>
          </w:p>
        </w:tc>
        <w:tc>
          <w:tcPr>
            <w:tcW w:w="2394" w:type="dxa"/>
          </w:tcPr>
          <w:p w:rsidR="001D1F9A" w:rsidRPr="00CD5EFE" w:rsidRDefault="001D1F9A" w:rsidP="00864227">
            <w:pPr>
              <w:rPr>
                <w:rFonts w:ascii="Times New Roman" w:hAnsi="Times New Roman" w:cs="Times New Roman"/>
                <w:sz w:val="24"/>
                <w:szCs w:val="24"/>
              </w:rPr>
            </w:pPr>
            <w:r w:rsidRPr="00CD5EFE">
              <w:rPr>
                <w:rFonts w:ascii="Times New Roman" w:hAnsi="Times New Roman" w:cs="Times New Roman"/>
                <w:sz w:val="24"/>
                <w:szCs w:val="24"/>
              </w:rPr>
              <w:t>2,386</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3,756</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4,656</w:t>
            </w:r>
          </w:p>
        </w:tc>
      </w:tr>
      <w:tr w:rsidR="001D1F9A" w:rsidRPr="00CD5EFE" w:rsidTr="001C7298">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Capex as %of Revenues</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10.00%</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10.00%</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10.00%</w:t>
            </w:r>
          </w:p>
        </w:tc>
      </w:tr>
      <w:tr w:rsidR="001D1F9A" w:rsidRPr="00CD5EFE" w:rsidTr="001C7298">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Capex</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1,103</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2,646</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3,453</w:t>
            </w:r>
          </w:p>
        </w:tc>
      </w:tr>
      <w:tr w:rsidR="001D1F9A" w:rsidRPr="00CD5EFE" w:rsidTr="001C7298">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Change in NWC as % of Revenues</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20.00%</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20.00%</w:t>
            </w:r>
          </w:p>
        </w:tc>
        <w:tc>
          <w:tcPr>
            <w:tcW w:w="2394" w:type="dxa"/>
          </w:tcPr>
          <w:p w:rsidR="001D1F9A"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20.00%</w:t>
            </w:r>
          </w:p>
        </w:tc>
      </w:tr>
      <w:tr w:rsidR="001D1F9A" w:rsidRPr="00CD5EFE" w:rsidTr="001C7298">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Change in NWC</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2,206</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3,564</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4,597</w:t>
            </w:r>
          </w:p>
        </w:tc>
      </w:tr>
      <w:tr w:rsidR="001D1F9A" w:rsidRPr="00CD5EFE" w:rsidTr="001C7298">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Free Cash Flow</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952</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1,100</w:t>
            </w:r>
          </w:p>
        </w:tc>
        <w:tc>
          <w:tcPr>
            <w:tcW w:w="2394" w:type="dxa"/>
          </w:tcPr>
          <w:p w:rsidR="001D1F9A" w:rsidRPr="00CD5EFE" w:rsidRDefault="001D1F9A" w:rsidP="001C7298">
            <w:pPr>
              <w:rPr>
                <w:rFonts w:ascii="Times New Roman" w:hAnsi="Times New Roman" w:cs="Times New Roman"/>
                <w:sz w:val="24"/>
                <w:szCs w:val="24"/>
              </w:rPr>
            </w:pPr>
            <w:r w:rsidRPr="00CD5EFE">
              <w:rPr>
                <w:rFonts w:ascii="Times New Roman" w:hAnsi="Times New Roman" w:cs="Times New Roman"/>
                <w:sz w:val="24"/>
                <w:szCs w:val="24"/>
              </w:rPr>
              <w:t>1,276</w:t>
            </w:r>
          </w:p>
        </w:tc>
      </w:tr>
    </w:tbl>
    <w:p w:rsidR="00864227" w:rsidRPr="00CD5EFE" w:rsidRDefault="00864227" w:rsidP="00864227">
      <w:pPr>
        <w:rPr>
          <w:rFonts w:ascii="Times New Roman" w:hAnsi="Times New Roman" w:cs="Times New Roman"/>
          <w:sz w:val="24"/>
          <w:szCs w:val="24"/>
        </w:rPr>
      </w:pPr>
    </w:p>
    <w:p w:rsidR="00864227" w:rsidRPr="00CD5EFE" w:rsidRDefault="001D1F9A">
      <w:pPr>
        <w:rPr>
          <w:rFonts w:ascii="Times New Roman" w:hAnsi="Times New Roman" w:cs="Times New Roman"/>
          <w:sz w:val="24"/>
          <w:szCs w:val="24"/>
        </w:rPr>
      </w:pPr>
      <w:r w:rsidRPr="00CD5EFE">
        <w:rPr>
          <w:rFonts w:ascii="Times New Roman" w:hAnsi="Times New Roman" w:cs="Times New Roman"/>
          <w:sz w:val="24"/>
          <w:szCs w:val="24"/>
        </w:rPr>
        <w:t>Source: Company 10K, Estimates the following sections explain in detail each of the forecasts in the figure above. Our team heavily relied on RCL’s financial statements and earnings call. The hypotheses on future projections are benchmarked to trends in the cruise line industry as a whole.</w:t>
      </w:r>
    </w:p>
    <w:p w:rsidR="001D1F9A" w:rsidRPr="00CD5EFE" w:rsidRDefault="00864227">
      <w:pPr>
        <w:rPr>
          <w:rFonts w:ascii="Times New Roman" w:hAnsi="Times New Roman" w:cs="Times New Roman"/>
          <w:sz w:val="24"/>
          <w:szCs w:val="24"/>
        </w:rPr>
      </w:pPr>
      <w:r w:rsidRPr="00CD5EFE">
        <w:rPr>
          <w:rFonts w:ascii="Times New Roman" w:hAnsi="Times New Roman" w:cs="Times New Roman"/>
          <w:sz w:val="24"/>
          <w:szCs w:val="24"/>
        </w:rPr>
        <w:t>Historical Analysis While looking at forecasting revenue for RCL, our team took a different approach than what we had done previously for CCL. As noted in Figure 2, CCL represented over 56% of maximum berth capacity out of the three players, and therefore made sense that the industry forecasts be more applicable to CCL. When looking at smaller players in the market, specifically RCL with 32% of maximum berth capacity, we had to look at other metrics for our team to forecast future growth.</w:t>
      </w:r>
    </w:p>
    <w:p w:rsidR="001D1F9A" w:rsidRPr="00CD5EFE" w:rsidRDefault="00CD5EFE">
      <w:pPr>
        <w:rPr>
          <w:rFonts w:ascii="Times New Roman" w:hAnsi="Times New Roman" w:cs="Times New Roman"/>
          <w:sz w:val="24"/>
          <w:szCs w:val="24"/>
        </w:rPr>
      </w:pPr>
      <w:r w:rsidRPr="00CD5EFE">
        <w:rPr>
          <w:rFonts w:ascii="Times New Roman" w:hAnsi="Times New Roman" w:cs="Times New Roman"/>
          <w:sz w:val="24"/>
          <w:szCs w:val="24"/>
        </w:rPr>
        <w:lastRenderedPageBreak/>
        <w:t xml:space="preserve"> </w:t>
      </w:r>
      <w:r w:rsidR="001D1F9A" w:rsidRPr="00CD5EFE">
        <w:rPr>
          <w:rFonts w:ascii="Times New Roman" w:hAnsi="Times New Roman" w:cs="Times New Roman"/>
          <w:sz w:val="24"/>
          <w:szCs w:val="24"/>
        </w:rPr>
        <w:t xml:space="preserve">The amount of cash </w:t>
      </w:r>
      <w:r w:rsidRPr="00CD5EFE">
        <w:rPr>
          <w:rFonts w:ascii="Times New Roman" w:hAnsi="Times New Roman" w:cs="Times New Roman"/>
          <w:sz w:val="24"/>
          <w:szCs w:val="24"/>
        </w:rPr>
        <w:t>collected $ 617,687.</w:t>
      </w:r>
    </w:p>
    <w:p w:rsidR="00B42935" w:rsidRPr="00CD5EFE" w:rsidRDefault="00B42935">
      <w:pPr>
        <w:rPr>
          <w:rFonts w:ascii="Times New Roman" w:hAnsi="Times New Roman" w:cs="Times New Roman"/>
          <w:sz w:val="24"/>
          <w:szCs w:val="24"/>
        </w:rPr>
      </w:pPr>
    </w:p>
    <w:sectPr w:rsidR="00B42935" w:rsidRPr="00CD5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935"/>
    <w:rsid w:val="00164742"/>
    <w:rsid w:val="001D1F9A"/>
    <w:rsid w:val="002B7146"/>
    <w:rsid w:val="005C5C1A"/>
    <w:rsid w:val="006A486B"/>
    <w:rsid w:val="006B601F"/>
    <w:rsid w:val="00864227"/>
    <w:rsid w:val="00B42935"/>
    <w:rsid w:val="00CD5EFE"/>
    <w:rsid w:val="00ED6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42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42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Loiz</dc:creator>
  <cp:lastModifiedBy>Kamande</cp:lastModifiedBy>
  <cp:revision>2</cp:revision>
  <dcterms:created xsi:type="dcterms:W3CDTF">2020-01-16T15:34:00Z</dcterms:created>
  <dcterms:modified xsi:type="dcterms:W3CDTF">2020-01-16T15:34:00Z</dcterms:modified>
</cp:coreProperties>
</file>